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E8EBE" w14:textId="77777777" w:rsidR="0058529B" w:rsidRDefault="0058529B" w:rsidP="0058529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4981450F" wp14:editId="7F431F1F">
            <wp:extent cx="495300" cy="685800"/>
            <wp:effectExtent l="0" t="0" r="0" b="0"/>
            <wp:docPr id="1" name="Slika 1" descr="Slika na kojoj se prikazuje simbol, emblem, crveno,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na kojoj se prikazuje simbol, emblem, crveno, logotip&#10;&#10;Opis je automatski generira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noFill/>
                    <a:ln>
                      <a:noFill/>
                    </a:ln>
                  </pic:spPr>
                </pic:pic>
              </a:graphicData>
            </a:graphic>
          </wp:inline>
        </w:drawing>
      </w:r>
      <w:r>
        <w:rPr>
          <w:rStyle w:val="eop"/>
          <w:rFonts w:eastAsiaTheme="majorEastAsia"/>
        </w:rPr>
        <w:t> </w:t>
      </w:r>
    </w:p>
    <w:p w14:paraId="2496FF45" w14:textId="77777777" w:rsidR="0058529B" w:rsidRDefault="0058529B" w:rsidP="0058529B">
      <w:pPr>
        <w:pStyle w:val="paragraph"/>
        <w:spacing w:before="0" w:beforeAutospacing="0" w:after="0" w:afterAutospacing="0"/>
        <w:jc w:val="center"/>
        <w:textAlignment w:val="baseline"/>
        <w:rPr>
          <w:rStyle w:val="eop"/>
          <w:rFonts w:eastAsiaTheme="majorEastAsia"/>
        </w:rPr>
      </w:pPr>
      <w:r>
        <w:rPr>
          <w:rStyle w:val="normaltextrun"/>
          <w:rFonts w:eastAsiaTheme="majorEastAsia"/>
        </w:rPr>
        <w:t>VLADA REPUBLIKE HRVATSKE</w:t>
      </w:r>
      <w:r>
        <w:rPr>
          <w:rStyle w:val="eop"/>
          <w:rFonts w:eastAsiaTheme="majorEastAsia"/>
        </w:rPr>
        <w:t> </w:t>
      </w:r>
    </w:p>
    <w:p w14:paraId="4FCBB170"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5462F871"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73E1F052"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3DCD81DC"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0FFBA95F"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449D49D3"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6125F2DA" w14:textId="77777777" w:rsidR="0058529B" w:rsidRDefault="0058529B" w:rsidP="0058529B">
      <w:pPr>
        <w:pStyle w:val="paragraph"/>
        <w:spacing w:before="0" w:beforeAutospacing="0" w:after="0" w:afterAutospacing="0"/>
        <w:jc w:val="center"/>
        <w:textAlignment w:val="baseline"/>
        <w:rPr>
          <w:rStyle w:val="eop"/>
          <w:rFonts w:eastAsiaTheme="majorEastAsia"/>
        </w:rPr>
      </w:pPr>
    </w:p>
    <w:p w14:paraId="07E26ED0" w14:textId="77777777" w:rsidR="0058529B" w:rsidRDefault="0058529B" w:rsidP="0058529B">
      <w:pPr>
        <w:pStyle w:val="paragraph"/>
        <w:spacing w:before="0" w:beforeAutospacing="0" w:after="0" w:afterAutospacing="0"/>
        <w:jc w:val="center"/>
        <w:textAlignment w:val="baseline"/>
        <w:rPr>
          <w:rFonts w:ascii="Segoe UI" w:hAnsi="Segoe UI" w:cs="Segoe UI"/>
          <w:sz w:val="18"/>
          <w:szCs w:val="18"/>
        </w:rPr>
      </w:pPr>
    </w:p>
    <w:p w14:paraId="14C1DE55" w14:textId="77777777" w:rsidR="0058529B" w:rsidRPr="00977F62" w:rsidRDefault="0058529B" w:rsidP="0058529B">
      <w:pPr>
        <w:pStyle w:val="paragraph"/>
        <w:spacing w:before="0" w:beforeAutospacing="0" w:after="0" w:afterAutospacing="0"/>
        <w:jc w:val="right"/>
        <w:textAlignment w:val="baseline"/>
        <w:rPr>
          <w:rFonts w:ascii="Segoe UI" w:hAnsi="Segoe UI" w:cs="Segoe UI"/>
          <w:sz w:val="18"/>
          <w:szCs w:val="18"/>
        </w:rPr>
      </w:pPr>
      <w:r w:rsidRPr="00744F38">
        <w:rPr>
          <w:rStyle w:val="normaltextrun"/>
          <w:rFonts w:eastAsiaTheme="majorEastAsia"/>
        </w:rPr>
        <w:t xml:space="preserve">Zagreb, </w:t>
      </w:r>
      <w:r>
        <w:rPr>
          <w:rStyle w:val="normaltextrun"/>
          <w:rFonts w:eastAsiaTheme="majorEastAsia"/>
        </w:rPr>
        <w:t>10</w:t>
      </w:r>
      <w:r w:rsidRPr="00744F38">
        <w:rPr>
          <w:rStyle w:val="normaltextrun"/>
          <w:rFonts w:eastAsiaTheme="majorEastAsia"/>
        </w:rPr>
        <w:t>. rujna 2026.</w:t>
      </w:r>
    </w:p>
    <w:p w14:paraId="6C7B2244" w14:textId="77777777" w:rsidR="0058529B" w:rsidRPr="00977F62" w:rsidRDefault="0058529B" w:rsidP="0058529B">
      <w:pPr>
        <w:pStyle w:val="paragraph"/>
        <w:spacing w:before="0" w:beforeAutospacing="0" w:after="0" w:afterAutospacing="0"/>
        <w:jc w:val="right"/>
        <w:textAlignment w:val="baseline"/>
        <w:rPr>
          <w:rFonts w:ascii="Segoe UI" w:hAnsi="Segoe UI" w:cs="Segoe UI"/>
          <w:sz w:val="18"/>
          <w:szCs w:val="18"/>
        </w:rPr>
      </w:pPr>
      <w:r w:rsidRPr="00977F62">
        <w:rPr>
          <w:rStyle w:val="eop"/>
          <w:rFonts w:eastAsiaTheme="majorEastAsia"/>
        </w:rPr>
        <w:t> </w:t>
      </w:r>
    </w:p>
    <w:p w14:paraId="4ADE7E2B" w14:textId="77777777" w:rsidR="0058529B" w:rsidRPr="00977F62" w:rsidRDefault="0058529B" w:rsidP="0058529B">
      <w:pPr>
        <w:pStyle w:val="paragraph"/>
        <w:spacing w:before="0" w:beforeAutospacing="0" w:after="0" w:afterAutospacing="0"/>
        <w:jc w:val="right"/>
        <w:textAlignment w:val="baseline"/>
        <w:rPr>
          <w:rFonts w:ascii="Segoe UI" w:hAnsi="Segoe UI" w:cs="Segoe UI"/>
          <w:sz w:val="18"/>
          <w:szCs w:val="18"/>
        </w:rPr>
      </w:pPr>
      <w:r w:rsidRPr="00977F62">
        <w:rPr>
          <w:rStyle w:val="eop"/>
          <w:rFonts w:eastAsiaTheme="majorEastAsia"/>
        </w:rPr>
        <w:t> </w:t>
      </w:r>
    </w:p>
    <w:p w14:paraId="549B0E03" w14:textId="77777777" w:rsidR="0058529B" w:rsidRPr="00977F62" w:rsidRDefault="0058529B" w:rsidP="0058529B">
      <w:pPr>
        <w:pStyle w:val="paragraph"/>
        <w:spacing w:before="0" w:beforeAutospacing="0" w:after="0" w:afterAutospacing="0"/>
        <w:jc w:val="right"/>
        <w:textAlignment w:val="baseline"/>
        <w:rPr>
          <w:rFonts w:ascii="Segoe UI" w:hAnsi="Segoe UI" w:cs="Segoe UI"/>
          <w:sz w:val="18"/>
          <w:szCs w:val="18"/>
        </w:rPr>
      </w:pPr>
      <w:r w:rsidRPr="00977F62">
        <w:rPr>
          <w:rStyle w:val="eop"/>
          <w:rFonts w:eastAsiaTheme="majorEastAsia"/>
        </w:rPr>
        <w:t> </w:t>
      </w:r>
    </w:p>
    <w:p w14:paraId="5B75737D" w14:textId="77777777" w:rsidR="0058529B" w:rsidRPr="00977F62" w:rsidRDefault="0058529B" w:rsidP="0058529B">
      <w:pPr>
        <w:pStyle w:val="paragraph"/>
        <w:spacing w:before="0" w:beforeAutospacing="0" w:after="0" w:afterAutospacing="0"/>
        <w:jc w:val="right"/>
        <w:textAlignment w:val="baseline"/>
        <w:rPr>
          <w:rFonts w:ascii="Segoe UI" w:hAnsi="Segoe UI" w:cs="Segoe UI"/>
          <w:sz w:val="18"/>
          <w:szCs w:val="18"/>
        </w:rPr>
      </w:pPr>
      <w:r w:rsidRPr="00977F62">
        <w:rPr>
          <w:rStyle w:val="eop"/>
          <w:rFonts w:eastAsiaTheme="majorEastAsia"/>
        </w:rPr>
        <w:t> </w:t>
      </w:r>
    </w:p>
    <w:p w14:paraId="43DC598D" w14:textId="77777777" w:rsidR="0058529B" w:rsidRPr="00977F62" w:rsidRDefault="0058529B" w:rsidP="0058529B">
      <w:pPr>
        <w:pStyle w:val="paragraph"/>
        <w:spacing w:before="0" w:beforeAutospacing="0" w:after="0" w:afterAutospacing="0"/>
        <w:textAlignment w:val="baseline"/>
        <w:rPr>
          <w:rFonts w:ascii="Segoe UI" w:hAnsi="Segoe UI" w:cs="Segoe UI"/>
          <w:sz w:val="18"/>
          <w:szCs w:val="18"/>
        </w:rPr>
      </w:pPr>
      <w:r w:rsidRPr="00977F62">
        <w:rPr>
          <w:rStyle w:val="eop"/>
          <w:rFonts w:eastAsiaTheme="majorEastAsia"/>
        </w:rPr>
        <w:t> </w:t>
      </w:r>
    </w:p>
    <w:p w14:paraId="77645993" w14:textId="77777777" w:rsidR="0058529B" w:rsidRPr="00977F62" w:rsidRDefault="0058529B" w:rsidP="0058529B">
      <w:pPr>
        <w:pStyle w:val="paragraph"/>
        <w:spacing w:before="0" w:beforeAutospacing="0" w:after="0" w:afterAutospacing="0"/>
        <w:textAlignment w:val="baseline"/>
        <w:rPr>
          <w:rFonts w:ascii="Segoe UI" w:hAnsi="Segoe UI" w:cs="Segoe UI"/>
          <w:sz w:val="18"/>
          <w:szCs w:val="18"/>
        </w:rPr>
      </w:pPr>
      <w:r w:rsidRPr="00977F62">
        <w:rPr>
          <w:rStyle w:val="normaltextrun"/>
          <w:rFonts w:eastAsiaTheme="majorEastAsia"/>
        </w:rPr>
        <w:t>_________________________________________________________________________</w:t>
      </w:r>
      <w:r w:rsidRPr="00977F62">
        <w:rPr>
          <w:rStyle w:val="eop"/>
          <w:rFonts w:eastAsiaTheme="majorEastAsia"/>
        </w:rPr>
        <w:t> </w:t>
      </w:r>
    </w:p>
    <w:p w14:paraId="5FCD570F"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normaltextrun"/>
          <w:rFonts w:eastAsiaTheme="majorEastAsia"/>
          <w:b/>
          <w:bCs/>
          <w:smallCaps/>
        </w:rPr>
        <w:t>Predlagatelj:</w:t>
      </w:r>
      <w:r>
        <w:rPr>
          <w:rStyle w:val="normaltextrun"/>
          <w:rFonts w:eastAsiaTheme="majorEastAsia"/>
          <w:b/>
          <w:bCs/>
        </w:rPr>
        <w:t xml:space="preserve"> </w:t>
      </w:r>
      <w:r w:rsidRPr="00977F62">
        <w:rPr>
          <w:rStyle w:val="normaltextrun"/>
          <w:rFonts w:eastAsiaTheme="majorEastAsia"/>
        </w:rPr>
        <w:t>Ministarstvo zaštite okoliša i zelene tranzicije</w:t>
      </w:r>
    </w:p>
    <w:p w14:paraId="6391C1A0" w14:textId="77777777" w:rsidR="0058529B" w:rsidRPr="00977F62" w:rsidRDefault="0058529B" w:rsidP="0058529B">
      <w:pPr>
        <w:pStyle w:val="paragraph"/>
        <w:spacing w:before="0" w:beforeAutospacing="0" w:after="0" w:afterAutospacing="0"/>
        <w:jc w:val="center"/>
        <w:textAlignment w:val="baseline"/>
        <w:rPr>
          <w:rFonts w:ascii="Segoe UI" w:hAnsi="Segoe UI" w:cs="Segoe UI"/>
          <w:sz w:val="18"/>
          <w:szCs w:val="18"/>
        </w:rPr>
      </w:pPr>
      <w:r w:rsidRPr="00977F62">
        <w:rPr>
          <w:rStyle w:val="normaltextrun"/>
          <w:rFonts w:eastAsiaTheme="majorEastAsia"/>
        </w:rPr>
        <w:t>__________________________________________________________________________</w:t>
      </w:r>
      <w:r w:rsidRPr="00977F62">
        <w:rPr>
          <w:rStyle w:val="eop"/>
          <w:rFonts w:eastAsiaTheme="majorEastAsia"/>
        </w:rPr>
        <w:t> </w:t>
      </w:r>
    </w:p>
    <w:p w14:paraId="69BDF588" w14:textId="77777777" w:rsidR="0058529B" w:rsidRPr="00977F62" w:rsidRDefault="0058529B" w:rsidP="0058529B">
      <w:pPr>
        <w:pStyle w:val="paragraph"/>
        <w:spacing w:before="0" w:beforeAutospacing="0" w:after="0" w:afterAutospacing="0"/>
        <w:ind w:left="1134" w:hanging="1269"/>
        <w:jc w:val="both"/>
        <w:textAlignment w:val="baseline"/>
        <w:rPr>
          <w:rFonts w:ascii="Segoe UI" w:hAnsi="Segoe UI" w:cs="Segoe UI"/>
          <w:sz w:val="18"/>
          <w:szCs w:val="18"/>
        </w:rPr>
      </w:pPr>
      <w:r w:rsidRPr="293AC7A4">
        <w:rPr>
          <w:rStyle w:val="normaltextrun"/>
          <w:rFonts w:eastAsiaTheme="majorEastAsia"/>
          <w:b/>
          <w:bCs/>
          <w:smallCaps/>
        </w:rPr>
        <w:t>   Predmet:</w:t>
      </w:r>
      <w:r w:rsidRPr="293AC7A4">
        <w:rPr>
          <w:rStyle w:val="normaltextrun"/>
          <w:rFonts w:eastAsiaTheme="majorEastAsia"/>
          <w:b/>
          <w:bCs/>
        </w:rPr>
        <w:t xml:space="preserve"> </w:t>
      </w:r>
      <w:r w:rsidRPr="293AC7A4">
        <w:rPr>
          <w:rStyle w:val="normaltextrun"/>
          <w:rFonts w:eastAsiaTheme="majorEastAsia"/>
        </w:rPr>
        <w:t xml:space="preserve">Prijedlog odluke </w:t>
      </w:r>
      <w:r w:rsidRPr="00E1702D">
        <w:rPr>
          <w:rStyle w:val="normaltextrun"/>
          <w:rFonts w:eastAsiaTheme="majorEastAsia"/>
        </w:rPr>
        <w:t xml:space="preserve">o </w:t>
      </w:r>
      <w:r w:rsidRPr="00B41AC8">
        <w:rPr>
          <w:rStyle w:val="normaltextrun"/>
          <w:rFonts w:eastAsiaTheme="majorEastAsia"/>
        </w:rPr>
        <w:t xml:space="preserve">zbrinjavanju </w:t>
      </w:r>
      <w:r>
        <w:rPr>
          <w:rStyle w:val="normaltextrun"/>
          <w:rFonts w:eastAsiaTheme="majorEastAsia"/>
        </w:rPr>
        <w:t>neopasnog otpada na lokaciji PPK Velebit u G</w:t>
      </w:r>
      <w:r w:rsidRPr="00B41AC8">
        <w:rPr>
          <w:rStyle w:val="normaltextrun"/>
          <w:rFonts w:eastAsiaTheme="majorEastAsia"/>
        </w:rPr>
        <w:t>ospiću</w:t>
      </w:r>
    </w:p>
    <w:p w14:paraId="37815D84" w14:textId="77777777" w:rsidR="0058529B" w:rsidRPr="00977F62" w:rsidRDefault="0058529B" w:rsidP="0058529B">
      <w:pPr>
        <w:pStyle w:val="paragraph"/>
        <w:spacing w:before="0" w:beforeAutospacing="0" w:after="0" w:afterAutospacing="0"/>
        <w:textAlignment w:val="baseline"/>
        <w:rPr>
          <w:rFonts w:ascii="Segoe UI" w:hAnsi="Segoe UI" w:cs="Segoe UI"/>
          <w:sz w:val="18"/>
          <w:szCs w:val="18"/>
        </w:rPr>
      </w:pPr>
      <w:r w:rsidRPr="00977F62">
        <w:rPr>
          <w:rStyle w:val="normaltextrun"/>
          <w:rFonts w:eastAsiaTheme="majorEastAsia"/>
        </w:rPr>
        <w:t>___________________________________________________________________________</w:t>
      </w:r>
      <w:r w:rsidRPr="00977F62">
        <w:rPr>
          <w:rStyle w:val="eop"/>
          <w:rFonts w:eastAsiaTheme="majorEastAsia"/>
        </w:rPr>
        <w:t> </w:t>
      </w:r>
    </w:p>
    <w:p w14:paraId="78ED5522"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43E804CB"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370CBAEF"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7E6C3ED5"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19B373AF"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1469AF42"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357530AC"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6BD90B13"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008ADAE2"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69FBB0B1"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77B67707"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2E012F18" w14:textId="77777777" w:rsidR="0058529B" w:rsidRDefault="0058529B" w:rsidP="0058529B">
      <w:pPr>
        <w:pStyle w:val="paragraph"/>
        <w:spacing w:before="0" w:beforeAutospacing="0" w:after="0" w:afterAutospacing="0"/>
        <w:jc w:val="both"/>
        <w:textAlignment w:val="baseline"/>
        <w:rPr>
          <w:rStyle w:val="eop"/>
          <w:rFonts w:eastAsiaTheme="majorEastAsia"/>
        </w:rPr>
      </w:pPr>
      <w:r w:rsidRPr="00977F62">
        <w:rPr>
          <w:rStyle w:val="eop"/>
          <w:rFonts w:eastAsiaTheme="majorEastAsia"/>
        </w:rPr>
        <w:t> </w:t>
      </w:r>
    </w:p>
    <w:p w14:paraId="7E7886C1" w14:textId="77777777" w:rsidR="0058529B" w:rsidRDefault="0058529B" w:rsidP="0058529B">
      <w:pPr>
        <w:pStyle w:val="paragraph"/>
        <w:spacing w:before="0" w:beforeAutospacing="0" w:after="0" w:afterAutospacing="0"/>
        <w:jc w:val="both"/>
        <w:textAlignment w:val="baseline"/>
        <w:rPr>
          <w:rStyle w:val="eop"/>
          <w:rFonts w:eastAsiaTheme="majorEastAsia"/>
        </w:rPr>
      </w:pPr>
    </w:p>
    <w:p w14:paraId="70D68E8D" w14:textId="77777777" w:rsidR="0058529B" w:rsidRDefault="0058529B" w:rsidP="0058529B">
      <w:pPr>
        <w:pStyle w:val="paragraph"/>
        <w:spacing w:before="0" w:beforeAutospacing="0" w:after="0" w:afterAutospacing="0"/>
        <w:jc w:val="both"/>
        <w:textAlignment w:val="baseline"/>
        <w:rPr>
          <w:rStyle w:val="eop"/>
          <w:rFonts w:eastAsiaTheme="majorEastAsia"/>
        </w:rPr>
      </w:pPr>
    </w:p>
    <w:p w14:paraId="72279B8D"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p>
    <w:p w14:paraId="74875273"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06730B14"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067CB724"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798A8E61" w14:textId="77777777" w:rsidR="0058529B" w:rsidRPr="00977F62" w:rsidRDefault="0058529B" w:rsidP="0058529B">
      <w:pPr>
        <w:pStyle w:val="paragraph"/>
        <w:spacing w:before="0" w:beforeAutospacing="0" w:after="0" w:afterAutospacing="0"/>
        <w:jc w:val="both"/>
        <w:textAlignment w:val="baseline"/>
        <w:rPr>
          <w:rFonts w:ascii="Segoe UI" w:hAnsi="Segoe UI" w:cs="Segoe UI"/>
          <w:sz w:val="18"/>
          <w:szCs w:val="18"/>
        </w:rPr>
      </w:pPr>
      <w:r w:rsidRPr="00977F62">
        <w:rPr>
          <w:rStyle w:val="eop"/>
          <w:rFonts w:eastAsiaTheme="majorEastAsia"/>
        </w:rPr>
        <w:t> </w:t>
      </w:r>
    </w:p>
    <w:p w14:paraId="5385292E" w14:textId="77777777" w:rsidR="0058529B" w:rsidRPr="00977F62" w:rsidRDefault="0058529B" w:rsidP="0058529B">
      <w:pPr>
        <w:pStyle w:val="paragraph"/>
        <w:spacing w:before="0" w:beforeAutospacing="0" w:after="0" w:afterAutospacing="0"/>
        <w:textAlignment w:val="baseline"/>
        <w:rPr>
          <w:rFonts w:ascii="Segoe UI" w:hAnsi="Segoe UI" w:cs="Segoe UI"/>
          <w:sz w:val="18"/>
          <w:szCs w:val="18"/>
        </w:rPr>
      </w:pPr>
      <w:r w:rsidRPr="00977F62">
        <w:rPr>
          <w:rStyle w:val="eop"/>
          <w:rFonts w:eastAsiaTheme="majorEastAsia"/>
        </w:rPr>
        <w:t> </w:t>
      </w:r>
    </w:p>
    <w:p w14:paraId="3689B2FC" w14:textId="77777777" w:rsidR="0058529B" w:rsidRPr="00977F62" w:rsidRDefault="0058529B" w:rsidP="0058529B">
      <w:pPr>
        <w:pStyle w:val="paragraph"/>
        <w:spacing w:before="0" w:beforeAutospacing="0" w:after="0" w:afterAutospacing="0"/>
        <w:textAlignment w:val="baseline"/>
        <w:rPr>
          <w:rFonts w:ascii="Segoe UI" w:hAnsi="Segoe UI" w:cs="Segoe UI"/>
          <w:sz w:val="18"/>
          <w:szCs w:val="18"/>
        </w:rPr>
      </w:pPr>
    </w:p>
    <w:p w14:paraId="5BA44F41" w14:textId="77777777" w:rsidR="0058529B" w:rsidRPr="00B41AC8" w:rsidRDefault="0058529B" w:rsidP="0058529B">
      <w:pPr>
        <w:pStyle w:val="paragraph"/>
        <w:pBdr>
          <w:top w:val="single" w:sz="4" w:space="1" w:color="404040"/>
        </w:pBdr>
        <w:spacing w:before="0" w:beforeAutospacing="0" w:after="0" w:afterAutospacing="0"/>
        <w:jc w:val="center"/>
        <w:textAlignment w:val="baseline"/>
        <w:rPr>
          <w:rFonts w:eastAsiaTheme="majorEastAsia"/>
          <w:color w:val="404040"/>
        </w:rPr>
      </w:pPr>
      <w:r w:rsidRPr="00977F62">
        <w:rPr>
          <w:rStyle w:val="normaltextrun"/>
          <w:rFonts w:eastAsiaTheme="majorEastAsia"/>
          <w:color w:val="404040"/>
        </w:rPr>
        <w:t>Banski dvori | Trg Sv. Marka 2  | 10000 Zagreb | tel. 01 4569 222 | vlada.gov.hr</w:t>
      </w:r>
      <w:r w:rsidRPr="00977F62">
        <w:rPr>
          <w:rStyle w:val="eop"/>
          <w:rFonts w:eastAsiaTheme="majorEastAsia"/>
          <w:color w:val="404040"/>
        </w:rPr>
        <w:t> </w:t>
      </w:r>
    </w:p>
    <w:p w14:paraId="504DD452" w14:textId="77777777" w:rsidR="0058529B" w:rsidRDefault="0058529B" w:rsidP="00261DAC">
      <w:pPr>
        <w:jc w:val="both"/>
        <w:rPr>
          <w:rFonts w:ascii="Times New Roman" w:hAnsi="Times New Roman" w:cs="Times New Roman"/>
        </w:rPr>
      </w:pPr>
      <w:bookmarkStart w:id="0" w:name="_GoBack"/>
      <w:bookmarkEnd w:id="0"/>
    </w:p>
    <w:p w14:paraId="5C322781" w14:textId="77777777" w:rsidR="0058529B" w:rsidRDefault="0058529B">
      <w:pPr>
        <w:rPr>
          <w:rFonts w:ascii="Times New Roman" w:hAnsi="Times New Roman" w:cs="Times New Roman"/>
        </w:rPr>
      </w:pPr>
      <w:r>
        <w:rPr>
          <w:rFonts w:ascii="Times New Roman" w:hAnsi="Times New Roman" w:cs="Times New Roman"/>
        </w:rPr>
        <w:br w:type="page"/>
      </w:r>
    </w:p>
    <w:p w14:paraId="39066D98" w14:textId="54D721A2" w:rsidR="00261DAC" w:rsidRPr="00261DAC" w:rsidRDefault="00261DAC" w:rsidP="00261DAC">
      <w:pPr>
        <w:jc w:val="both"/>
        <w:rPr>
          <w:rFonts w:ascii="Times New Roman" w:hAnsi="Times New Roman" w:cs="Times New Roman"/>
        </w:rPr>
      </w:pPr>
      <w:r w:rsidRPr="00261DAC">
        <w:rPr>
          <w:rFonts w:ascii="Times New Roman" w:hAnsi="Times New Roman" w:cs="Times New Roman"/>
        </w:rPr>
        <w:lastRenderedPageBreak/>
        <w:t xml:space="preserve">Na temelju </w:t>
      </w:r>
      <w:r w:rsidR="0045240D" w:rsidRPr="00261DAC">
        <w:rPr>
          <w:rFonts w:ascii="Times New Roman" w:hAnsi="Times New Roman" w:cs="Times New Roman"/>
        </w:rPr>
        <w:t>člank</w:t>
      </w:r>
      <w:r w:rsidR="0045240D">
        <w:rPr>
          <w:rFonts w:ascii="Times New Roman" w:hAnsi="Times New Roman" w:cs="Times New Roman"/>
        </w:rPr>
        <w:t>a</w:t>
      </w:r>
      <w:r w:rsidR="0045240D" w:rsidRPr="00261DAC">
        <w:rPr>
          <w:rFonts w:ascii="Times New Roman" w:hAnsi="Times New Roman" w:cs="Times New Roman"/>
        </w:rPr>
        <w:t xml:space="preserve"> 8., člank</w:t>
      </w:r>
      <w:r w:rsidR="0045240D">
        <w:rPr>
          <w:rFonts w:ascii="Times New Roman" w:hAnsi="Times New Roman" w:cs="Times New Roman"/>
        </w:rPr>
        <w:t>a</w:t>
      </w:r>
      <w:r w:rsidR="0045240D" w:rsidRPr="00261DAC">
        <w:rPr>
          <w:rFonts w:ascii="Times New Roman" w:hAnsi="Times New Roman" w:cs="Times New Roman"/>
        </w:rPr>
        <w:t xml:space="preserve"> 10. i člank</w:t>
      </w:r>
      <w:r w:rsidR="0045240D">
        <w:rPr>
          <w:rFonts w:ascii="Times New Roman" w:hAnsi="Times New Roman" w:cs="Times New Roman"/>
        </w:rPr>
        <w:t>a</w:t>
      </w:r>
      <w:r w:rsidR="0045240D" w:rsidRPr="00261DAC">
        <w:rPr>
          <w:rFonts w:ascii="Times New Roman" w:hAnsi="Times New Roman" w:cs="Times New Roman"/>
        </w:rPr>
        <w:t xml:space="preserve"> 11. Zakona o gospodarenju otpadom („Narodne novine“, br. 84/21. i 142/23.</w:t>
      </w:r>
      <w:r w:rsidR="0045240D">
        <w:rPr>
          <w:rFonts w:ascii="Times New Roman" w:hAnsi="Times New Roman" w:cs="Times New Roman"/>
        </w:rPr>
        <w:t xml:space="preserve">, </w:t>
      </w:r>
      <w:r w:rsidR="0045240D" w:rsidRPr="00261DAC">
        <w:rPr>
          <w:rFonts w:ascii="Times New Roman" w:hAnsi="Times New Roman" w:cs="Times New Roman"/>
        </w:rPr>
        <w:t>)</w:t>
      </w:r>
      <w:r w:rsidR="0045240D">
        <w:rPr>
          <w:rFonts w:ascii="Times New Roman" w:hAnsi="Times New Roman" w:cs="Times New Roman"/>
        </w:rPr>
        <w:t xml:space="preserve">a vezi s </w:t>
      </w:r>
      <w:r w:rsidRPr="00261DAC">
        <w:rPr>
          <w:rFonts w:ascii="Times New Roman" w:hAnsi="Times New Roman" w:cs="Times New Roman"/>
        </w:rPr>
        <w:t>člank</w:t>
      </w:r>
      <w:r w:rsidR="0045240D">
        <w:rPr>
          <w:rFonts w:ascii="Times New Roman" w:hAnsi="Times New Roman" w:cs="Times New Roman"/>
        </w:rPr>
        <w:t>om</w:t>
      </w:r>
      <w:r w:rsidRPr="00261DAC">
        <w:rPr>
          <w:rFonts w:ascii="Times New Roman" w:hAnsi="Times New Roman" w:cs="Times New Roman"/>
        </w:rPr>
        <w:t xml:space="preserve"> </w:t>
      </w:r>
      <w:r w:rsidR="0045240D">
        <w:rPr>
          <w:rFonts w:ascii="Times New Roman" w:hAnsi="Times New Roman" w:cs="Times New Roman"/>
        </w:rPr>
        <w:t>8</w:t>
      </w:r>
      <w:r w:rsidRPr="00261DAC">
        <w:rPr>
          <w:rFonts w:ascii="Times New Roman" w:hAnsi="Times New Roman" w:cs="Times New Roman"/>
        </w:rPr>
        <w:t>. i člank</w:t>
      </w:r>
      <w:r w:rsidR="0045240D">
        <w:rPr>
          <w:rFonts w:ascii="Times New Roman" w:hAnsi="Times New Roman" w:cs="Times New Roman"/>
        </w:rPr>
        <w:t>om</w:t>
      </w:r>
      <w:r w:rsidRPr="00261DAC">
        <w:rPr>
          <w:rFonts w:ascii="Times New Roman" w:hAnsi="Times New Roman" w:cs="Times New Roman"/>
        </w:rPr>
        <w:t xml:space="preserve"> 31. </w:t>
      </w:r>
      <w:r w:rsidR="0045240D">
        <w:rPr>
          <w:rFonts w:ascii="Times New Roman" w:hAnsi="Times New Roman" w:cs="Times New Roman"/>
        </w:rPr>
        <w:t xml:space="preserve">stavkom 2. </w:t>
      </w:r>
      <w:r w:rsidRPr="00261DAC">
        <w:rPr>
          <w:rFonts w:ascii="Times New Roman" w:hAnsi="Times New Roman" w:cs="Times New Roman"/>
        </w:rPr>
        <w:t>Zakona o Vladi Republike Hrvatske („Narodne novine“, br. 150/11., 119/14., 93/16., 116/18., 80/22. i 78/24.), , Vlada Republike Hrvatske, radi zaštite javnog interesa, na sjednici održanoj __________ 2026. godine, donosi</w:t>
      </w:r>
    </w:p>
    <w:p w14:paraId="46A72CF3" w14:textId="77777777" w:rsidR="00261DAC" w:rsidRPr="00261DAC" w:rsidRDefault="00261DAC" w:rsidP="00261DAC">
      <w:pPr>
        <w:jc w:val="center"/>
        <w:rPr>
          <w:rFonts w:ascii="Times New Roman" w:hAnsi="Times New Roman" w:cs="Times New Roman"/>
          <w:b/>
          <w:bCs/>
        </w:rPr>
      </w:pPr>
      <w:r w:rsidRPr="00261DAC">
        <w:rPr>
          <w:rFonts w:ascii="Times New Roman" w:hAnsi="Times New Roman" w:cs="Times New Roman"/>
          <w:b/>
          <w:bCs/>
        </w:rPr>
        <w:t>ODLUKU</w:t>
      </w:r>
    </w:p>
    <w:p w14:paraId="167430C2" w14:textId="77777777" w:rsidR="00261DAC" w:rsidRPr="00261DAC" w:rsidRDefault="00261DAC" w:rsidP="00261DAC">
      <w:pPr>
        <w:jc w:val="center"/>
        <w:rPr>
          <w:rFonts w:ascii="Times New Roman" w:hAnsi="Times New Roman" w:cs="Times New Roman"/>
          <w:b/>
          <w:bCs/>
        </w:rPr>
      </w:pPr>
      <w:r w:rsidRPr="00261DAC">
        <w:rPr>
          <w:rFonts w:ascii="Times New Roman" w:hAnsi="Times New Roman" w:cs="Times New Roman"/>
          <w:b/>
          <w:bCs/>
        </w:rPr>
        <w:t>O ZBRINJAVANJU NEOPASNOG OTPADA NA LOKACIJI PPK VELEBIT U GOSPIĆU</w:t>
      </w:r>
    </w:p>
    <w:p w14:paraId="027F4B16"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I.</w:t>
      </w:r>
    </w:p>
    <w:p w14:paraId="68703ED7"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Ovom Odlukom određuje se žurno preuzimanje, uklanjanje, transport te oporaba i/ili drugi odgovarajući postupak gospodarenja neopasnim otpadom koji se nalazi na lokaciji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w:t>
      </w:r>
    </w:p>
    <w:p w14:paraId="3527B29F"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Postupanje iz stavka 1. ove točke provodi se radi potpunog uklanjanja predmetnog otpada s lokacije te njegova zakonitog i okolišno prihvatljivog zbrinjavanja, odnosno oporabe, u skladu s propisima kojima se uređuje gospodarenje otpadom.</w:t>
      </w:r>
    </w:p>
    <w:p w14:paraId="4EFC598C"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II.</w:t>
      </w:r>
    </w:p>
    <w:p w14:paraId="42043D41" w14:textId="4CF86496"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Predmet ove Odluke je neopasni otpad koji se nalazi na lokaciji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 a koji je uskladišten u velikim vrećama, i to osobito otpad razvrstan prema ključnim brojevima:</w:t>
      </w:r>
    </w:p>
    <w:p w14:paraId="37AEC7F2"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07 02 13 – otpadna plastika, </w:t>
      </w:r>
    </w:p>
    <w:p w14:paraId="473966E1" w14:textId="0ACC698A" w:rsidR="00261DAC" w:rsidRPr="00261DAC" w:rsidRDefault="00261DAC" w:rsidP="00261DAC">
      <w:pPr>
        <w:jc w:val="both"/>
        <w:rPr>
          <w:rFonts w:ascii="Times New Roman" w:hAnsi="Times New Roman" w:cs="Times New Roman"/>
        </w:rPr>
      </w:pPr>
      <w:r w:rsidRPr="00261DAC">
        <w:rPr>
          <w:rFonts w:ascii="Times New Roman" w:hAnsi="Times New Roman" w:cs="Times New Roman"/>
        </w:rPr>
        <w:t>19 12 12 –</w:t>
      </w:r>
      <w:r w:rsidR="004823AA" w:rsidRPr="004823AA">
        <w:rPr>
          <w:rFonts w:ascii="Times New Roman" w:hAnsi="Times New Roman" w:cs="Times New Roman"/>
        </w:rPr>
        <w:t>ostali otpad (uključujući mješavine materijala) od mehaničke obrade otpada, koji nije naveden pod 19 12 11*</w:t>
      </w:r>
      <w:r w:rsidRPr="00261DAC">
        <w:rPr>
          <w:rFonts w:ascii="Times New Roman" w:hAnsi="Times New Roman" w:cs="Times New Roman"/>
        </w:rPr>
        <w:t xml:space="preserve">, </w:t>
      </w:r>
    </w:p>
    <w:p w14:paraId="002CA906"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19 12 04 – plastika i guma. </w:t>
      </w:r>
    </w:p>
    <w:p w14:paraId="4C5CF224" w14:textId="01F32F8B"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Preuzimanje, </w:t>
      </w:r>
      <w:r w:rsidR="003204C3">
        <w:rPr>
          <w:rFonts w:ascii="Times New Roman" w:hAnsi="Times New Roman" w:cs="Times New Roman"/>
        </w:rPr>
        <w:t xml:space="preserve">uklanjanje, utovar, </w:t>
      </w:r>
      <w:r w:rsidRPr="00261DAC">
        <w:rPr>
          <w:rFonts w:ascii="Times New Roman" w:hAnsi="Times New Roman" w:cs="Times New Roman"/>
        </w:rPr>
        <w:t>transport, oporaba i/ili drugi postupak gospodarenja otpadom iz stavka 1. ove točke može se provoditi isključivo za one vrste i količine otpada za koje pojedini izvršitelj posjeduje važeću dozvolu za gospodarenje otpadom, sukladno posebnim propisima.</w:t>
      </w:r>
    </w:p>
    <w:p w14:paraId="24C23A4E"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Prije početka preuzimanja utvrdit će se stvarne količine otpada koje se nalaze na lokaciji te njihova raspodjela između izvršitelja, uzimajući u obzir vrste otpada, raspoložive kapacitete i uvjete iz važećih dozvola za gospodarenje otpadom.</w:t>
      </w:r>
    </w:p>
    <w:p w14:paraId="4A43816D"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III.</w:t>
      </w:r>
    </w:p>
    <w:p w14:paraId="1AC90A31"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Za provedbu poslova iz točke I. ove Odluke određuju se:</w:t>
      </w:r>
    </w:p>
    <w:p w14:paraId="2D98BA3E" w14:textId="77777777" w:rsidR="00261DAC" w:rsidRPr="00261DAC" w:rsidRDefault="00261DAC" w:rsidP="00261DAC">
      <w:pPr>
        <w:numPr>
          <w:ilvl w:val="0"/>
          <w:numId w:val="2"/>
        </w:numPr>
        <w:jc w:val="both"/>
        <w:rPr>
          <w:rFonts w:ascii="Times New Roman" w:hAnsi="Times New Roman" w:cs="Times New Roman"/>
        </w:rPr>
      </w:pPr>
      <w:r w:rsidRPr="00261DAC">
        <w:rPr>
          <w:rFonts w:ascii="Times New Roman" w:hAnsi="Times New Roman" w:cs="Times New Roman"/>
        </w:rPr>
        <w:t xml:space="preserve">HOLCIM HRVATSKA d.o.o., </w:t>
      </w:r>
      <w:proofErr w:type="spellStart"/>
      <w:r w:rsidRPr="00261DAC">
        <w:rPr>
          <w:rFonts w:ascii="Times New Roman" w:hAnsi="Times New Roman" w:cs="Times New Roman"/>
        </w:rPr>
        <w:t>Koromačno</w:t>
      </w:r>
      <w:proofErr w:type="spellEnd"/>
      <w:r w:rsidRPr="00261DAC">
        <w:rPr>
          <w:rFonts w:ascii="Times New Roman" w:hAnsi="Times New Roman" w:cs="Times New Roman"/>
        </w:rPr>
        <w:t xml:space="preserve">, i </w:t>
      </w:r>
    </w:p>
    <w:p w14:paraId="572D9817" w14:textId="77777777" w:rsidR="00261DAC" w:rsidRPr="00261DAC" w:rsidRDefault="00261DAC" w:rsidP="00261DAC">
      <w:pPr>
        <w:numPr>
          <w:ilvl w:val="0"/>
          <w:numId w:val="2"/>
        </w:numPr>
        <w:jc w:val="both"/>
        <w:rPr>
          <w:rFonts w:ascii="Times New Roman" w:hAnsi="Times New Roman" w:cs="Times New Roman"/>
        </w:rPr>
      </w:pPr>
      <w:r w:rsidRPr="00261DAC">
        <w:rPr>
          <w:rFonts w:ascii="Times New Roman" w:hAnsi="Times New Roman" w:cs="Times New Roman"/>
        </w:rPr>
        <w:t xml:space="preserve">NEXE d.d., Našice. </w:t>
      </w:r>
    </w:p>
    <w:p w14:paraId="0B3093B5" w14:textId="3BB3A566"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U provedbi poslova iz stavka 1. ove točke mogu sudjelovati i društva koja su povezana s društvima HOLCIM HRVATSKA d.o.o. i NEXE d.d., pod uvjetom da </w:t>
      </w:r>
      <w:r w:rsidR="001E1632">
        <w:rPr>
          <w:rFonts w:ascii="Times New Roman" w:hAnsi="Times New Roman" w:cs="Times New Roman"/>
        </w:rPr>
        <w:t>to</w:t>
      </w:r>
      <w:r w:rsidRPr="00261DAC">
        <w:rPr>
          <w:rFonts w:ascii="Times New Roman" w:hAnsi="Times New Roman" w:cs="Times New Roman"/>
        </w:rPr>
        <w:t xml:space="preserve"> društvo samostalno </w:t>
      </w:r>
      <w:r w:rsidRPr="00261DAC">
        <w:rPr>
          <w:rFonts w:ascii="Times New Roman" w:hAnsi="Times New Roman" w:cs="Times New Roman"/>
        </w:rPr>
        <w:lastRenderedPageBreak/>
        <w:t>ispunjava sve zakonom propisane uvjete za obavljanje predmetnih poslova te da posjeduje važeću dozvolu za gospodarenje otpadom koja obuhvaća konkretnu vrstu i količinu otpada te konkretni postupak gospodarenja otpadom koji će se provoditi.</w:t>
      </w:r>
    </w:p>
    <w:p w14:paraId="619F4910"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Raspodjela ukupne količine otpada između društava iz stavka 1. ove točke nastojat će se provesti u jednakim ili približno jednakim količinama, u najvećoj mogućoj mjeri, vodeći pritom prvenstveno računa o vrstama otpada, važećim dozvolama, raspoloživim kapacitetima i drugim uvjetima za zakonito postupanje s otpadom.</w:t>
      </w:r>
    </w:p>
    <w:p w14:paraId="36C2E180"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IV.</w:t>
      </w:r>
    </w:p>
    <w:p w14:paraId="6D51BA8C"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Svako društvo koje sudjeluje u provedbi ove Odluke može preuzeti i obrađivati isključivo one vrste i količine otpada za koje ima odgovarajuću važeću dozvolu za gospodarenje otpadom i za koje su ispunjeni svi drugi zakonom propisani uvjeti.</w:t>
      </w:r>
    </w:p>
    <w:p w14:paraId="736E7EE6"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Konačna raspodjela otpada između društava iz točke III. ove Odluke utvrdit će se prije početka preuzimanja, na temelju stvarno utvrđenih količina otpada i opsega važećih dozvola pojedinog društva.</w:t>
      </w:r>
    </w:p>
    <w:p w14:paraId="71072913"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V.</w:t>
      </w:r>
    </w:p>
    <w:p w14:paraId="3ABFB0EB"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Poslovi iz točke I. ove Odluke provest će se u okviru ukupne vrijednosti od najviše 357.500,00 eura bez PDV-a, koja odgovara vrijednosti odabrane ponude u prethodno provedenom postupku javne nabave za predmetne poslove, koji je nakon toga postao neprovediv zbog odustajanja odabranog ponuditelja.</w:t>
      </w:r>
    </w:p>
    <w:p w14:paraId="66F2FA51"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Cijena iz stavka 1. ove točke predstavlja financijsku osnovu za provedbu poslova iz ove Odluke te se poslovi koje provode HOLCIM HRVATSKA d.o.o., NEXE d.d. i njihova povezana društva uključena u provedbu ove Odluke obavljaju po istoj jediničnoj cijeni i pod istim financijskim uvjetima koji proizlaze iz odabrane ponude u prethodno provedenom postupku javne nabave.</w:t>
      </w:r>
    </w:p>
    <w:p w14:paraId="1279D231"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Ukupna vrijednost svih poslova provedenih na temelju ove Odluke ne može prijeći iznos od 357.500,00 eura bez PDV-a.</w:t>
      </w:r>
    </w:p>
    <w:p w14:paraId="09F39F01"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VI.</w:t>
      </w:r>
    </w:p>
    <w:p w14:paraId="62279FD6"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Fond za zaštitu okoliša i energetsku učinkovitost osigurava financiranje provedbe ove Odluke te poduzima potrebne radnje radi ugovaranja i provedbe financiranja poslova iz ove Odluke, u skladu s ovom Odlukom i važećim propisima.</w:t>
      </w:r>
    </w:p>
    <w:p w14:paraId="252BB09B"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VII.</w:t>
      </w:r>
    </w:p>
    <w:p w14:paraId="1822F850"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Ministarstvo zaštite okoliša i zelene tranzicije zadužuje se za koordinaciju provedbe ove Odluke te za praćenje izvršenja poslova preuzimanja, uklanjanja, transporta i oporabe i/ili drugog odgovarajućeg postupka gospodarenja otpadom.</w:t>
      </w:r>
    </w:p>
    <w:p w14:paraId="109CCBEA"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Ministarstvo u okviru svojih nadležnosti prati provedbu rokova, količina i drugih uvjeta utvrđenih ovom Odlukom.</w:t>
      </w:r>
    </w:p>
    <w:p w14:paraId="6A4781FC"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VIII.</w:t>
      </w:r>
    </w:p>
    <w:p w14:paraId="5452804E"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lastRenderedPageBreak/>
        <w:t xml:space="preserve">Svi poslovi preuzimanja, transporta, oporabe i/ili drugog postupka gospodarenja otpadom moraju se provoditi uz osiguravanje potpune </w:t>
      </w:r>
      <w:proofErr w:type="spellStart"/>
      <w:r w:rsidRPr="00261DAC">
        <w:rPr>
          <w:rFonts w:ascii="Times New Roman" w:hAnsi="Times New Roman" w:cs="Times New Roman"/>
        </w:rPr>
        <w:t>sljedivosti</w:t>
      </w:r>
      <w:proofErr w:type="spellEnd"/>
      <w:r w:rsidRPr="00261DAC">
        <w:rPr>
          <w:rFonts w:ascii="Times New Roman" w:hAnsi="Times New Roman" w:cs="Times New Roman"/>
        </w:rPr>
        <w:t xml:space="preserve"> otpada, od njegova preuzimanja na lokaciji PPK Velebit do konačnog postupanja s otpadom.</w:t>
      </w:r>
    </w:p>
    <w:p w14:paraId="7C110F6B"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Društva koja sudjeluju u provedbi ove Odluke dužna su voditi i dostavljati odgovarajuću dokumentaciju o preuzetim količinama, vrstama otpada, prijevozu te provedenim postupcima oporabe i/ili drugim postupcima gospodarenja otpadom, sukladno propisima.</w:t>
      </w:r>
    </w:p>
    <w:p w14:paraId="358968F8"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IX.</w:t>
      </w:r>
    </w:p>
    <w:p w14:paraId="738CB78D"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Poslovi iz točke I. ove Odluke moraju započeti bez odgode, a cjelokupno preuzimanje, transport te oporaba i/ili drugi odgovarajući postupak gospodarenja otpadom, uključujući potpuno uklanjanje cjelokupne količine otpada obuhvaćene ovom Odlukom s lokacije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 moraju biti izvršeni u roku od 45 dana od dana donošenja ove Odluke.</w:t>
      </w:r>
    </w:p>
    <w:p w14:paraId="786A84AB" w14:textId="77777777" w:rsidR="00261DAC" w:rsidRDefault="00261DAC" w:rsidP="00261DAC">
      <w:pPr>
        <w:jc w:val="both"/>
        <w:rPr>
          <w:rFonts w:ascii="Times New Roman" w:hAnsi="Times New Roman" w:cs="Times New Roman"/>
        </w:rPr>
      </w:pPr>
      <w:r w:rsidRPr="00261DAC">
        <w:rPr>
          <w:rFonts w:ascii="Times New Roman" w:hAnsi="Times New Roman" w:cs="Times New Roman"/>
        </w:rPr>
        <w:t>Poslovi se moraju provoditi kontinuirano i organizirati na način kojim se osigurava njihov potpuni završetak u navedenom roku.</w:t>
      </w:r>
    </w:p>
    <w:p w14:paraId="4FEC7AE4" w14:textId="40948768" w:rsidR="006E7ECF" w:rsidRPr="00261DAC" w:rsidRDefault="006E7ECF" w:rsidP="00261DAC">
      <w:pPr>
        <w:jc w:val="both"/>
        <w:rPr>
          <w:rFonts w:ascii="Times New Roman" w:hAnsi="Times New Roman" w:cs="Times New Roman"/>
        </w:rPr>
      </w:pPr>
      <w:r w:rsidRPr="006E7ECF">
        <w:rPr>
          <w:rFonts w:ascii="Times New Roman" w:hAnsi="Times New Roman" w:cs="Times New Roman"/>
        </w:rPr>
        <w:t>Iznimno, rok iz stavka 1. ove točke može se produljiti ako nastupe objektivne okolnosti koje onemogućuju pravodobno izvršenje poslova, a koje izvršitelji nisu mogli predvidjeti niti spriječiti, kao što su nepovoljni vremenski uvjeti, utvrđivanje znatno većih količina otpada od procijenjenih, administrativne prepreke izvan kontrole izvršitelja ili drugi slučajevi više sile. Izvršitelj koji traži produljenje roka dužan je bez odgode pisanim putem obavijestiti Ministarstvo zaštite okoliša i zelene tranzicije o nastanku takvih okolnosti, uz odgovarajuću dokumentaciju koja potvrđuje navedene okolnosti. Ovlašćuje se Ministarstvo zaštite okoliša i zelene tranzicije da, na temelju zaprimljenog zahtjeva i priložene dokumentacije, donese odluku o produljenju roka u roku od 3 dana od zaprimanja zahtjeva, vodeći računa o opravdanosti zahtjeva i potrebi zaštite javnog interesa.</w:t>
      </w:r>
    </w:p>
    <w:p w14:paraId="29709C6B"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X.</w:t>
      </w:r>
    </w:p>
    <w:p w14:paraId="602D77EE"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Provedba ove Odluke od osobite je važnosti zbog potrebe za žurnim i potpunim uklanjanjem otpada s lokacije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 te osiguranja njegova zakonitog postupanja, </w:t>
      </w:r>
      <w:proofErr w:type="spellStart"/>
      <w:r w:rsidRPr="00261DAC">
        <w:rPr>
          <w:rFonts w:ascii="Times New Roman" w:hAnsi="Times New Roman" w:cs="Times New Roman"/>
        </w:rPr>
        <w:t>sljedivosti</w:t>
      </w:r>
      <w:proofErr w:type="spellEnd"/>
      <w:r w:rsidRPr="00261DAC">
        <w:rPr>
          <w:rFonts w:ascii="Times New Roman" w:hAnsi="Times New Roman" w:cs="Times New Roman"/>
        </w:rPr>
        <w:t xml:space="preserve"> i odgovarajuće oporabe i/ili drugog postupka gospodarenja otpadom.</w:t>
      </w:r>
    </w:p>
    <w:p w14:paraId="4B5ED51B"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Prethodno provedeni postupak javne nabave za uklanjanje i zbrinjavanje i/ili oporabu neopasno odloženog otpada u Gospiću postao je neprovediv nakon što je odabrani ponuditelj 9. rujna 2026. godine dostavio izjavu kojom odustaje od izvršenja predmetnih poslova, čime je onemogućeno sklapanje i izvršenje ugovora na temelju odabrane ponude.</w:t>
      </w:r>
    </w:p>
    <w:p w14:paraId="10223904"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Zbog navedenog je nastala potreba za žurnim osiguranjem drugog zakonitog i provedivog načina potpunog uklanjanja predmetnog otpada s lokacije.</w:t>
      </w:r>
    </w:p>
    <w:p w14:paraId="31921208" w14:textId="77777777" w:rsidR="00892D00" w:rsidRDefault="00892D00" w:rsidP="00261DAC">
      <w:pPr>
        <w:jc w:val="center"/>
        <w:rPr>
          <w:rFonts w:ascii="Times New Roman" w:hAnsi="Times New Roman" w:cs="Times New Roman"/>
        </w:rPr>
      </w:pPr>
    </w:p>
    <w:p w14:paraId="0BF1F784" w14:textId="0BC221A9" w:rsidR="00261DAC" w:rsidRPr="00261DAC" w:rsidRDefault="00261DAC" w:rsidP="00261DAC">
      <w:pPr>
        <w:jc w:val="center"/>
        <w:rPr>
          <w:rFonts w:ascii="Times New Roman" w:hAnsi="Times New Roman" w:cs="Times New Roman"/>
        </w:rPr>
      </w:pPr>
      <w:r w:rsidRPr="00261DAC">
        <w:rPr>
          <w:rFonts w:ascii="Times New Roman" w:hAnsi="Times New Roman" w:cs="Times New Roman"/>
        </w:rPr>
        <w:t>XI.</w:t>
      </w:r>
    </w:p>
    <w:p w14:paraId="5CB14B1C" w14:textId="75DD0E45" w:rsidR="00261DAC" w:rsidRPr="00261DAC" w:rsidRDefault="00892D00" w:rsidP="00261DAC">
      <w:pPr>
        <w:jc w:val="both"/>
        <w:rPr>
          <w:rFonts w:ascii="Times New Roman" w:hAnsi="Times New Roman" w:cs="Times New Roman"/>
        </w:rPr>
      </w:pPr>
      <w:r>
        <w:rPr>
          <w:rFonts w:ascii="Times New Roman" w:hAnsi="Times New Roman" w:cs="Times New Roman"/>
        </w:rPr>
        <w:t>Provedbu ove Odluke žurno izvršavaju društva</w:t>
      </w:r>
      <w:r w:rsidR="00261DAC" w:rsidRPr="00261DAC">
        <w:rPr>
          <w:rFonts w:ascii="Times New Roman" w:hAnsi="Times New Roman" w:cs="Times New Roman"/>
        </w:rPr>
        <w:t xml:space="preserve"> HOLCIM HRVATSKA d.o.o., NEXE d.d. i društva povezana s navedenim društvima koja sudjeluju u provedbi, svatko u dijelu poslova </w:t>
      </w:r>
      <w:r w:rsidR="00261DAC" w:rsidRPr="00261DAC">
        <w:rPr>
          <w:rFonts w:ascii="Times New Roman" w:hAnsi="Times New Roman" w:cs="Times New Roman"/>
        </w:rPr>
        <w:lastRenderedPageBreak/>
        <w:t>koji mu je dodijeljen i u okviru vrste, količine i postupka gospodarenja otpadom za koji ispunjava zakonom propisane uvjete i posjeduje odgovarajuću važeću dozvolu.</w:t>
      </w:r>
    </w:p>
    <w:p w14:paraId="189B47F1"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 xml:space="preserve">Društva iz stavka 1. ove točke odgovorna su za zakonito postupanje s preuzetim otpadom, njegovo propisno preuzimanje, prijevoz, oporabu i/ili drugi postupak gospodarenja otpadom te osiguravanje </w:t>
      </w:r>
      <w:proofErr w:type="spellStart"/>
      <w:r w:rsidRPr="00261DAC">
        <w:rPr>
          <w:rFonts w:ascii="Times New Roman" w:hAnsi="Times New Roman" w:cs="Times New Roman"/>
        </w:rPr>
        <w:t>sljedivosti</w:t>
      </w:r>
      <w:proofErr w:type="spellEnd"/>
      <w:r w:rsidRPr="00261DAC">
        <w:rPr>
          <w:rFonts w:ascii="Times New Roman" w:hAnsi="Times New Roman" w:cs="Times New Roman"/>
        </w:rPr>
        <w:t xml:space="preserve"> otpada.</w:t>
      </w:r>
    </w:p>
    <w:p w14:paraId="1823A911"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XII.</w:t>
      </w:r>
    </w:p>
    <w:p w14:paraId="2B19B3B7"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Sva tijela državne uprave, javne ustanove, pravne osobe s javnim ovlastima te druge osobe koje raspolažu podacima ili su uključene u provedbu poslova iz ove Odluke dužne su, u okviru svojih nadležnosti, osigurati potrebnu suradnju radi njezine žurne i učinkovite provedbe.</w:t>
      </w:r>
    </w:p>
    <w:p w14:paraId="14103259"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Društva povezana s HOLCIM HRVATSKA d.o.o. i NEXE d.d. koja sudjeluju u provedbi ove Odluke odgovorna su za izvršenje dijela poslova koji im je povjeren, isključivo u okviru svojih važećih dozvola i drugih zakonom propisanih uvjeta.</w:t>
      </w:r>
    </w:p>
    <w:p w14:paraId="4C684305" w14:textId="77777777" w:rsidR="00261DAC" w:rsidRPr="00261DAC" w:rsidRDefault="00261DAC" w:rsidP="00261DAC">
      <w:pPr>
        <w:jc w:val="center"/>
        <w:rPr>
          <w:rFonts w:ascii="Times New Roman" w:hAnsi="Times New Roman" w:cs="Times New Roman"/>
        </w:rPr>
      </w:pPr>
      <w:r w:rsidRPr="00261DAC">
        <w:rPr>
          <w:rFonts w:ascii="Times New Roman" w:hAnsi="Times New Roman" w:cs="Times New Roman"/>
        </w:rPr>
        <w:t>XIII.</w:t>
      </w:r>
    </w:p>
    <w:p w14:paraId="56DFE39E" w14:textId="77777777" w:rsidR="00261DAC" w:rsidRPr="00261DAC" w:rsidRDefault="00261DAC" w:rsidP="00261DAC">
      <w:pPr>
        <w:jc w:val="both"/>
        <w:rPr>
          <w:rFonts w:ascii="Times New Roman" w:hAnsi="Times New Roman" w:cs="Times New Roman"/>
        </w:rPr>
      </w:pPr>
      <w:r w:rsidRPr="00261DAC">
        <w:rPr>
          <w:rFonts w:ascii="Times New Roman" w:hAnsi="Times New Roman" w:cs="Times New Roman"/>
        </w:rPr>
        <w:t>Ova Odluka stupa na snagu danom donošenja.</w:t>
      </w:r>
    </w:p>
    <w:p w14:paraId="662C0534" w14:textId="2CAAFA78" w:rsidR="00261DAC" w:rsidRPr="00261DAC" w:rsidRDefault="00261DAC" w:rsidP="00261DAC">
      <w:pPr>
        <w:jc w:val="both"/>
        <w:rPr>
          <w:rFonts w:ascii="Times New Roman" w:hAnsi="Times New Roman" w:cs="Times New Roman"/>
        </w:rPr>
      </w:pPr>
    </w:p>
    <w:p w14:paraId="41D08FCE" w14:textId="0969A071" w:rsidR="00261DAC" w:rsidRPr="00261DAC" w:rsidRDefault="00261DAC" w:rsidP="00261DAC">
      <w:pPr>
        <w:jc w:val="center"/>
        <w:rPr>
          <w:rFonts w:ascii="Times New Roman" w:hAnsi="Times New Roman" w:cs="Times New Roman"/>
          <w:b/>
          <w:bCs/>
        </w:rPr>
      </w:pPr>
      <w:r w:rsidRPr="00261DAC">
        <w:rPr>
          <w:rFonts w:ascii="Times New Roman" w:hAnsi="Times New Roman" w:cs="Times New Roman"/>
          <w:b/>
          <w:bCs/>
        </w:rPr>
        <w:t>Obrazloženje</w:t>
      </w:r>
    </w:p>
    <w:p w14:paraId="7929AB99" w14:textId="77C4AEC4"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Na lokaciji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 nalazi se otpad koji je potrebno u cijelosti ukloniti s lokacije i osigurati njegovo zakonito daljnje postupanje. Riječ je o otpadu koji se nalazi uskladišten u velikim vrećama, a prema raspoloživim podacima obuhvaća otpad ključnih brojeva 07 02 13 – otpadna plastika, 19 12 12 – ostali otpad od mehaničke obrade otpada i 19 12 04 – plastika i guma.</w:t>
      </w:r>
    </w:p>
    <w:p w14:paraId="4EA8FDA6"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Na temelju provedenih ispitivanja i raspoložive dokumentacije o karakterizaciji otpada utvrđeno je da se radi o neopasnom otpadu. Njegova neopasna svojstva potvrđena su kroz više međusobno neovisnih analiza i ispitivanja, pri čemu rezultati provedenih analiza potvrđuju da predmetni otpad nije klasificiran kao opasni otpad. Slijedom toga, predmetnim se otpadom može postupati kao neopasnim otpadom, uz poštovanje svih propisanih uvjeta i važećih dozvola za gospodarenje otpadom.</w:t>
      </w:r>
    </w:p>
    <w:p w14:paraId="4417A6E4"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Posebno je važno da za ovakav neopasni otpad postoji mogućnost energetske oporabe u cementnoj industriji, odnosno njegova korištenja kao zamjenskog goriva. Riječ je o postupku u kojem se odgovarajući neopasni otpad koristi u tehnološkom procesu kao zamjena za druga goriva, uz ispunjavanje svih propisanih uvjeta. Za provedbu takvog postupanja potrebno je da društvo koje preuzima otpad ima odgovarajuću važeću dozvolu za konkretnu vrstu i količinu otpada te za konkretan postupak gospodarenja otpadom.</w:t>
      </w:r>
    </w:p>
    <w:p w14:paraId="5A6A4DA5"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Nakon što je odabrani ponuditelj u prethodno provedenom postupku javne nabave 9. rujna 2026. godine dostavio izjavu kojom odustaje od izvršenja predmetnih poslova, čime je provedba tog postupka postala neprovediva, bilo je potrebno bez odgode pronaći drugo konkretno i provedivo rješenje. U tu su svrhu </w:t>
      </w:r>
      <w:proofErr w:type="spellStart"/>
      <w:r w:rsidRPr="00261DAC">
        <w:rPr>
          <w:rFonts w:ascii="Times New Roman" w:hAnsi="Times New Roman" w:cs="Times New Roman"/>
        </w:rPr>
        <w:t>kontaktirane</w:t>
      </w:r>
      <w:proofErr w:type="spellEnd"/>
      <w:r w:rsidRPr="00261DAC">
        <w:rPr>
          <w:rFonts w:ascii="Times New Roman" w:hAnsi="Times New Roman" w:cs="Times New Roman"/>
        </w:rPr>
        <w:t xml:space="preserve"> tvrtke iz cementne industrije koje </w:t>
      </w:r>
      <w:r w:rsidRPr="00261DAC">
        <w:rPr>
          <w:rFonts w:ascii="Times New Roman" w:hAnsi="Times New Roman" w:cs="Times New Roman"/>
        </w:rPr>
        <w:lastRenderedPageBreak/>
        <w:t>imaju odgovarajuće važeće dozvole za prihvat i energetsku oporabu predmetnog neopasnog otpada kao zamjenskog goriva. Upravo su takva društva, koja imaju odgovarajuće dozvole i tehničke mogućnosti za ovu vrstu postupanja, jedina koja mogu preuzeti predmetni otpad za navedenu namjenu, i to u opsegu u kojem im njihove dozvole to dopuštaju.</w:t>
      </w:r>
    </w:p>
    <w:p w14:paraId="3B31A475"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Time se omogućuje da se predmetni otpad ne samo ukloni s postojeće lokacije, nego da se, gdje to dopuštaju svojstva pojedine vrste otpada i dozvole konkretnog društva, energetski oporabi kao zamjensko gorivo u cementnoj industriji, umjesto da se usmjerava na odlaganje. Takvo rješenje istodobno omogućuje iskorištavanje postojećih kapaciteta i infrastrukture društava koja već imaju odgovarajuće dozvole za takav postupak.</w:t>
      </w:r>
    </w:p>
    <w:p w14:paraId="7A7EFD75"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Za uklanjanje predmetnog otpada prethodno je proveden postupak javne nabave za uklanjanje i zbrinjavanje i/ili oporabu neopasno odloženog otpada u Gospiću. Procijenjena vrijednost postupka iznosila je 400.000,00 eura bez PDV-a. U postupku su zaprimljene dvije ponude, od kojih je jedna ocijenjena neprihvatljivom, dok je druga ponuda ocijenjena ekonomski najpovoljnijom te je donesena odluka o odabiru. Odlukom o odabiru od 1. rujna 2026. godine odabrana je ponuda u vrijednosti od 357.500,00 eura bez PDV-a, odnosno 446.875,00 eura s PDV-om.</w:t>
      </w:r>
    </w:p>
    <w:p w14:paraId="74CE735A"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Međutim, odabrani ponuditelj je 9. rujna 2026. godine dostavio izjavu kojom odustaje od izvršenja predmetnih poslova. Time je onemogućeno sklapanje i izvršenje ugovora na temelju odabrane ponude te je prethodno provedeni postupak postao neprovediv. S obzirom na potrebu da se otpad ukloni s lokacije bez daljnjeg odgađanja, bilo je potrebno odmah osigurati drugo zakonito i provedivo rješenje. Daljnje čekanje na pokretanje i provedbu novog postupka nabave, uz neizvjesnost njegova trajanja i ishoda, nije primjereno okolnostima konkretnog slučaja.</w:t>
      </w:r>
    </w:p>
    <w:p w14:paraId="2F2C3BA8"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Pri odabiru rješenja vodilo se računa i o tome da se ne povećava financijski okvir koji je već bio utvrđen u prethodno provedenom postupku. Zbog toga je ukupna vrijednost poslova koji će se provesti na temelju ove Odluke ograničena na najviše 357.500,00 eura bez PDV-a, što odgovara vrijednosti prethodno odabrane ponude. HOLCIM HRVATSKA d.o.o., NEXE d.d. i njihova povezana društva koja će eventualno sudjelovati u provedbi poslova primjenjivat će istu jediničnu cijenu i iste financijske uvjete koji proizlaze iz prethodno odabrane ponude. Konačni iznos utvrdit će se prema stvarno preuzetim i obrađenim, odnosno </w:t>
      </w:r>
      <w:proofErr w:type="spellStart"/>
      <w:r w:rsidRPr="00261DAC">
        <w:rPr>
          <w:rFonts w:ascii="Times New Roman" w:hAnsi="Times New Roman" w:cs="Times New Roman"/>
        </w:rPr>
        <w:t>oporabljenim</w:t>
      </w:r>
      <w:proofErr w:type="spellEnd"/>
      <w:r w:rsidRPr="00261DAC">
        <w:rPr>
          <w:rFonts w:ascii="Times New Roman" w:hAnsi="Times New Roman" w:cs="Times New Roman"/>
        </w:rPr>
        <w:t xml:space="preserve"> količinama otpada, uz odgovarajuću dokumentaciju o izvršenim poslovima.</w:t>
      </w:r>
    </w:p>
    <w:p w14:paraId="4EF96E87"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U provedbu se uključuju HOLCIM HRVATSKA d.o.o. i NEXE d.d., a omogućuje se i sudjelovanje njihovih povezanih društava kada je to potrebno radi osiguranja dovoljnog kapaciteta i završetka posla u utvrđenom roku. Sudjelovanje povezanih društava moguće je samo ako svako od njih samostalno ispunjava sve zakonske uvjete i ima važeću dozvolu za gospodarenje konkretnom vrstom i količinom otpada te za postupak koji će se provoditi. Na taj se način osigurava da se otpad ni u jednom trenutku ne predaje subjektu koji za njegovo preuzimanje ili obradu nije ovlašten.</w:t>
      </w:r>
    </w:p>
    <w:p w14:paraId="52120A5B"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Raspodjela otpada između HOLCIM HRVATSKA d.o.o. i NEXE d.d. nastojat će se provesti u jednakim ili približno jednakim količinama, u najvećoj mogućoj mjeri. Konačna </w:t>
      </w:r>
      <w:r w:rsidRPr="00261DAC">
        <w:rPr>
          <w:rFonts w:ascii="Times New Roman" w:hAnsi="Times New Roman" w:cs="Times New Roman"/>
        </w:rPr>
        <w:lastRenderedPageBreak/>
        <w:t>raspodjela ipak će ovisiti o stvarno utvrđenim količinama pojedinih vrsta otpada, važećim dozvolama, raspoloživim kapacitetima i drugim uvjetima potrebnima za zakonito postupanje. Prije početka preuzimanja utvrdit će se stvarna količina otpada na lokaciji i prema tome će se odrediti količina koju preuzima pojedini izvršitelj.</w:t>
      </w:r>
    </w:p>
    <w:p w14:paraId="192432AE" w14:textId="4075848E"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S obzirom na okolnosti slučaja, potrebno je osigurati da se otpad ukloni u jasno određenom roku. Stoga se ovom Odlukom propisuje da poslovi moraju započeti bez odgode te da se cjelokupno preuzimanje, uklanjanje, </w:t>
      </w:r>
      <w:r w:rsidR="003204C3">
        <w:rPr>
          <w:rFonts w:ascii="Times New Roman" w:hAnsi="Times New Roman" w:cs="Times New Roman"/>
        </w:rPr>
        <w:t xml:space="preserve">utovar, </w:t>
      </w:r>
      <w:r w:rsidRPr="00261DAC">
        <w:rPr>
          <w:rFonts w:ascii="Times New Roman" w:hAnsi="Times New Roman" w:cs="Times New Roman"/>
        </w:rPr>
        <w:t xml:space="preserve">transport i oporaba i/ili drugi odgovarajući postupak gospodarenja otpadom moraju izvršiti u roku od 45 dana od dana donošenja ove Odluke. Rok se odnosi na cjelokupan posao, odnosno na potpuno uklanjanje svih količina otpada obuhvaćenih ovom Odlukom s lokacije PPK Velebit, </w:t>
      </w:r>
      <w:proofErr w:type="spellStart"/>
      <w:r w:rsidRPr="00261DAC">
        <w:rPr>
          <w:rFonts w:ascii="Times New Roman" w:hAnsi="Times New Roman" w:cs="Times New Roman"/>
        </w:rPr>
        <w:t>Bilajska</w:t>
      </w:r>
      <w:proofErr w:type="spellEnd"/>
      <w:r w:rsidRPr="00261DAC">
        <w:rPr>
          <w:rFonts w:ascii="Times New Roman" w:hAnsi="Times New Roman" w:cs="Times New Roman"/>
        </w:rPr>
        <w:t xml:space="preserve"> 50, Gospić, kao i na provedbu odgovarajućeg postupka gospodarenja tim otpadom.</w:t>
      </w:r>
    </w:p>
    <w:p w14:paraId="1CB90D16"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Pri provedbi svih aktivnosti mora se osigurati potpuna </w:t>
      </w:r>
      <w:proofErr w:type="spellStart"/>
      <w:r w:rsidRPr="00261DAC">
        <w:rPr>
          <w:rFonts w:ascii="Times New Roman" w:hAnsi="Times New Roman" w:cs="Times New Roman"/>
        </w:rPr>
        <w:t>sljedivost</w:t>
      </w:r>
      <w:proofErr w:type="spellEnd"/>
      <w:r w:rsidRPr="00261DAC">
        <w:rPr>
          <w:rFonts w:ascii="Times New Roman" w:hAnsi="Times New Roman" w:cs="Times New Roman"/>
        </w:rPr>
        <w:t xml:space="preserve"> otpada, od njegova preuzimanja na lokaciji, preko prijevoza, do konačnog postupanja s otpadom. Svaki izvršitelj dužan je osigurati odgovarajuću dokumentaciju o količinama i vrstama preuzetog otpada, prijevozu te provedenom postupku oporabe i/ili drugom postupku gospodarenja otpadom. Na taj način omogućuje se potpuna kontrola izvršenih poslova i potvrda da je sa svakom preuzetom količinom </w:t>
      </w:r>
      <w:proofErr w:type="spellStart"/>
      <w:r w:rsidRPr="00261DAC">
        <w:rPr>
          <w:rFonts w:ascii="Times New Roman" w:hAnsi="Times New Roman" w:cs="Times New Roman"/>
        </w:rPr>
        <w:t>postupano</w:t>
      </w:r>
      <w:proofErr w:type="spellEnd"/>
      <w:r w:rsidRPr="00261DAC">
        <w:rPr>
          <w:rFonts w:ascii="Times New Roman" w:hAnsi="Times New Roman" w:cs="Times New Roman"/>
        </w:rPr>
        <w:t xml:space="preserve"> u skladu s propisima.</w:t>
      </w:r>
    </w:p>
    <w:p w14:paraId="0237D099"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 xml:space="preserve">Financiranje provedbe ove Odluke osigurava Fond za zaštitu okoliša i energetsku učinkovitost, pri čemu ukupna vrijednost svih poslova ne može prijeći iznos od 357.500,00 eura bez PDV-a. Plaćanje će se temeljiti na stvarno izvršenim i dokumentiranim poslovima i stvarno preuzetim i obrađenim, odnosno </w:t>
      </w:r>
      <w:proofErr w:type="spellStart"/>
      <w:r w:rsidRPr="00261DAC">
        <w:rPr>
          <w:rFonts w:ascii="Times New Roman" w:hAnsi="Times New Roman" w:cs="Times New Roman"/>
        </w:rPr>
        <w:t>oporabljenim</w:t>
      </w:r>
      <w:proofErr w:type="spellEnd"/>
      <w:r w:rsidRPr="00261DAC">
        <w:rPr>
          <w:rFonts w:ascii="Times New Roman" w:hAnsi="Times New Roman" w:cs="Times New Roman"/>
        </w:rPr>
        <w:t xml:space="preserve"> količinama otpada.</w:t>
      </w:r>
    </w:p>
    <w:p w14:paraId="324A3BA0"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Donošenjem ove Odluke osigurava se neposredno i provedivo rješenje za potpuno uklanjanje neopasnog otpada s lokacije PPK Velebit u Gospiću. Istodobno se osigurava da se otpad preuzima i obrađuje samo od strane subjekata koji za to imaju odgovarajuće dozvole, da se, gdje je to moguće, energetski oporabi kao zamjensko gorivo u cementnoj industriji, da se ne prelazi prethodno utvrđeni financijski okvir te da se cijeli posao završi u roku od 45 dana od dana donošenja Odluke.</w:t>
      </w:r>
    </w:p>
    <w:p w14:paraId="64DE2BE3" w14:textId="77777777" w:rsidR="00261DAC" w:rsidRPr="00261DAC" w:rsidRDefault="00261DAC" w:rsidP="00261DAC">
      <w:pPr>
        <w:ind w:firstLine="708"/>
        <w:jc w:val="both"/>
        <w:rPr>
          <w:rFonts w:ascii="Times New Roman" w:hAnsi="Times New Roman" w:cs="Times New Roman"/>
        </w:rPr>
      </w:pPr>
      <w:r w:rsidRPr="00261DAC">
        <w:rPr>
          <w:rFonts w:ascii="Times New Roman" w:hAnsi="Times New Roman" w:cs="Times New Roman"/>
        </w:rPr>
        <w:t>Slijedom navedenoga, predlaže se donošenje ove Odluke.</w:t>
      </w:r>
    </w:p>
    <w:p w14:paraId="2C7AD2DA" w14:textId="77777777" w:rsidR="00BD2077" w:rsidRPr="00261DAC" w:rsidRDefault="00BD2077" w:rsidP="00261DAC">
      <w:pPr>
        <w:jc w:val="both"/>
        <w:rPr>
          <w:rFonts w:ascii="Times New Roman" w:hAnsi="Times New Roman" w:cs="Times New Roman"/>
        </w:rPr>
      </w:pPr>
    </w:p>
    <w:sectPr w:rsidR="00BD2077" w:rsidRPr="00261D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D391E"/>
    <w:multiLevelType w:val="multilevel"/>
    <w:tmpl w:val="DEDE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C2638"/>
    <w:multiLevelType w:val="multilevel"/>
    <w:tmpl w:val="D6AAD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DAC"/>
    <w:rsid w:val="001271F0"/>
    <w:rsid w:val="001D37FC"/>
    <w:rsid w:val="001E1632"/>
    <w:rsid w:val="00261DAC"/>
    <w:rsid w:val="003204C3"/>
    <w:rsid w:val="003E1955"/>
    <w:rsid w:val="0045240D"/>
    <w:rsid w:val="00453E76"/>
    <w:rsid w:val="00476454"/>
    <w:rsid w:val="004823AA"/>
    <w:rsid w:val="00517B63"/>
    <w:rsid w:val="0058529B"/>
    <w:rsid w:val="005B18AF"/>
    <w:rsid w:val="00605BB9"/>
    <w:rsid w:val="006E7ECF"/>
    <w:rsid w:val="0074452E"/>
    <w:rsid w:val="007E1B26"/>
    <w:rsid w:val="00892D00"/>
    <w:rsid w:val="008E0D5C"/>
    <w:rsid w:val="008E2518"/>
    <w:rsid w:val="00997941"/>
    <w:rsid w:val="00AF2F44"/>
    <w:rsid w:val="00B1160F"/>
    <w:rsid w:val="00B66E9C"/>
    <w:rsid w:val="00B67568"/>
    <w:rsid w:val="00BD2077"/>
    <w:rsid w:val="00BD57EE"/>
    <w:rsid w:val="00CC6330"/>
    <w:rsid w:val="00D915B4"/>
    <w:rsid w:val="00E23BDC"/>
    <w:rsid w:val="00E94878"/>
    <w:rsid w:val="00FE582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96FD"/>
  <w15:chartTrackingRefBased/>
  <w15:docId w15:val="{6781CB05-38C4-47F9-97A8-3A8FB989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1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D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D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D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DAC"/>
    <w:rPr>
      <w:rFonts w:eastAsiaTheme="majorEastAsia" w:cstheme="majorBidi"/>
      <w:color w:val="272727" w:themeColor="text1" w:themeTint="D8"/>
    </w:rPr>
  </w:style>
  <w:style w:type="paragraph" w:styleId="Title">
    <w:name w:val="Title"/>
    <w:basedOn w:val="Normal"/>
    <w:next w:val="Normal"/>
    <w:link w:val="TitleChar"/>
    <w:uiPriority w:val="10"/>
    <w:qFormat/>
    <w:rsid w:val="00261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D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DAC"/>
    <w:pPr>
      <w:spacing w:before="160"/>
      <w:jc w:val="center"/>
    </w:pPr>
    <w:rPr>
      <w:i/>
      <w:iCs/>
      <w:color w:val="404040" w:themeColor="text1" w:themeTint="BF"/>
    </w:rPr>
  </w:style>
  <w:style w:type="character" w:customStyle="1" w:styleId="QuoteChar">
    <w:name w:val="Quote Char"/>
    <w:basedOn w:val="DefaultParagraphFont"/>
    <w:link w:val="Quote"/>
    <w:uiPriority w:val="29"/>
    <w:rsid w:val="00261DAC"/>
    <w:rPr>
      <w:i/>
      <w:iCs/>
      <w:color w:val="404040" w:themeColor="text1" w:themeTint="BF"/>
    </w:rPr>
  </w:style>
  <w:style w:type="paragraph" w:styleId="ListParagraph">
    <w:name w:val="List Paragraph"/>
    <w:basedOn w:val="Normal"/>
    <w:uiPriority w:val="34"/>
    <w:qFormat/>
    <w:rsid w:val="00261DAC"/>
    <w:pPr>
      <w:ind w:left="720"/>
      <w:contextualSpacing/>
    </w:pPr>
  </w:style>
  <w:style w:type="character" w:styleId="IntenseEmphasis">
    <w:name w:val="Intense Emphasis"/>
    <w:basedOn w:val="DefaultParagraphFont"/>
    <w:uiPriority w:val="21"/>
    <w:qFormat/>
    <w:rsid w:val="00261DAC"/>
    <w:rPr>
      <w:i/>
      <w:iCs/>
      <w:color w:val="0F4761" w:themeColor="accent1" w:themeShade="BF"/>
    </w:rPr>
  </w:style>
  <w:style w:type="paragraph" w:styleId="IntenseQuote">
    <w:name w:val="Intense Quote"/>
    <w:basedOn w:val="Normal"/>
    <w:next w:val="Normal"/>
    <w:link w:val="IntenseQuoteChar"/>
    <w:uiPriority w:val="30"/>
    <w:qFormat/>
    <w:rsid w:val="00261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DAC"/>
    <w:rPr>
      <w:i/>
      <w:iCs/>
      <w:color w:val="0F4761" w:themeColor="accent1" w:themeShade="BF"/>
    </w:rPr>
  </w:style>
  <w:style w:type="character" w:styleId="IntenseReference">
    <w:name w:val="Intense Reference"/>
    <w:basedOn w:val="DefaultParagraphFont"/>
    <w:uiPriority w:val="32"/>
    <w:qFormat/>
    <w:rsid w:val="00261DAC"/>
    <w:rPr>
      <w:b/>
      <w:bCs/>
      <w:smallCaps/>
      <w:color w:val="0F4761" w:themeColor="accent1" w:themeShade="BF"/>
      <w:spacing w:val="5"/>
    </w:rPr>
  </w:style>
  <w:style w:type="paragraph" w:styleId="Revision">
    <w:name w:val="Revision"/>
    <w:hidden/>
    <w:uiPriority w:val="99"/>
    <w:semiHidden/>
    <w:rsid w:val="004823AA"/>
    <w:pPr>
      <w:spacing w:after="0" w:line="240" w:lineRule="auto"/>
    </w:pPr>
  </w:style>
  <w:style w:type="paragraph" w:customStyle="1" w:styleId="paragraph">
    <w:name w:val="paragraph"/>
    <w:basedOn w:val="Normal"/>
    <w:rsid w:val="0058529B"/>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customStyle="1" w:styleId="wacimagecontainer">
    <w:name w:val="wacimagecontainer"/>
    <w:basedOn w:val="DefaultParagraphFont"/>
    <w:rsid w:val="0058529B"/>
  </w:style>
  <w:style w:type="character" w:customStyle="1" w:styleId="eop">
    <w:name w:val="eop"/>
    <w:basedOn w:val="DefaultParagraphFont"/>
    <w:rsid w:val="0058529B"/>
  </w:style>
  <w:style w:type="character" w:customStyle="1" w:styleId="normaltextrun">
    <w:name w:val="normaltextrun"/>
    <w:basedOn w:val="DefaultParagraphFont"/>
    <w:rsid w:val="00585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2394</Words>
  <Characters>13649</Characters>
  <Application>Microsoft Office Word</Application>
  <DocSecurity>0</DocSecurity>
  <Lines>113</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Bagarić</dc:creator>
  <cp:keywords/>
  <dc:description/>
  <cp:lastModifiedBy>Sonja Tučkar</cp:lastModifiedBy>
  <cp:revision>3</cp:revision>
  <cp:lastPrinted>2026-09-10T09:11:00Z</cp:lastPrinted>
  <dcterms:created xsi:type="dcterms:W3CDTF">2026-09-10T09:36:00Z</dcterms:created>
  <dcterms:modified xsi:type="dcterms:W3CDTF">2026-09-10T09:47:00Z</dcterms:modified>
</cp:coreProperties>
</file>